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73" w:rsidRPr="00467CC6" w:rsidRDefault="00925373" w:rsidP="00925373">
      <w:pPr>
        <w:tabs>
          <w:tab w:val="left" w:pos="1703"/>
        </w:tabs>
        <w:jc w:val="center"/>
      </w:pPr>
      <w:r w:rsidRPr="00467CC6">
        <w:t xml:space="preserve">MERSİN BÜYÜKŞEHİR BELEDİYE MECLİSİ </w:t>
      </w:r>
    </w:p>
    <w:p w:rsidR="00925373" w:rsidRPr="00467CC6" w:rsidRDefault="00925373" w:rsidP="00925373">
      <w:pPr>
        <w:pStyle w:val="GvdeMetni"/>
        <w:jc w:val="center"/>
        <w:rPr>
          <w:rFonts w:ascii="Times New Roman" w:hAnsi="Times New Roman"/>
        </w:rPr>
      </w:pPr>
      <w:r w:rsidRPr="00467CC6">
        <w:rPr>
          <w:rFonts w:ascii="Times New Roman" w:hAnsi="Times New Roman"/>
        </w:rPr>
        <w:t>İMAR-BAYIN</w:t>
      </w:r>
      <w:r>
        <w:rPr>
          <w:rFonts w:ascii="Times New Roman" w:hAnsi="Times New Roman"/>
        </w:rPr>
        <w:t xml:space="preserve">DIRLIK KOMİSYONU VE </w:t>
      </w:r>
      <w:r w:rsidRPr="00B34F4B">
        <w:rPr>
          <w:rFonts w:ascii="Times New Roman" w:hAnsi="Times New Roman"/>
        </w:rPr>
        <w:t>EĞİTİM-KÜLTÜR-GENÇLİK VE SPOR KOMİSYONU</w:t>
      </w:r>
    </w:p>
    <w:p w:rsidR="00925373" w:rsidRPr="00467CC6" w:rsidRDefault="00925373" w:rsidP="00925373">
      <w:pPr>
        <w:pStyle w:val="GvdeMetni"/>
        <w:jc w:val="center"/>
        <w:rPr>
          <w:rFonts w:ascii="Times New Roman" w:hAnsi="Times New Roman"/>
          <w:b w:val="0"/>
        </w:rPr>
      </w:pPr>
      <w:r w:rsidRPr="00467CC6">
        <w:rPr>
          <w:rFonts w:ascii="Times New Roman" w:hAnsi="Times New Roman"/>
          <w:b w:val="0"/>
        </w:rPr>
        <w:t xml:space="preserve"> (DOSYA NO-…)</w:t>
      </w:r>
    </w:p>
    <w:p w:rsidR="00925373" w:rsidRPr="00467CC6" w:rsidRDefault="00925373" w:rsidP="00925373">
      <w:pPr>
        <w:pBdr>
          <w:bottom w:val="single" w:sz="12" w:space="1" w:color="auto"/>
        </w:pBdr>
      </w:pPr>
    </w:p>
    <w:tbl>
      <w:tblPr>
        <w:tblW w:w="0" w:type="auto"/>
        <w:tblInd w:w="108" w:type="dxa"/>
        <w:tblLook w:val="04A0"/>
      </w:tblPr>
      <w:tblGrid>
        <w:gridCol w:w="1776"/>
        <w:gridCol w:w="2567"/>
        <w:gridCol w:w="4837"/>
      </w:tblGrid>
      <w:tr w:rsidR="00925373" w:rsidRPr="00467CC6" w:rsidTr="001C3836">
        <w:tc>
          <w:tcPr>
            <w:tcW w:w="1800" w:type="dxa"/>
          </w:tcPr>
          <w:p w:rsidR="00925373" w:rsidRPr="00467CC6" w:rsidRDefault="00925373" w:rsidP="001C3836">
            <w:pPr>
              <w:jc w:val="both"/>
              <w:rPr>
                <w:b/>
              </w:rPr>
            </w:pPr>
            <w:r w:rsidRPr="00467CC6">
              <w:rPr>
                <w:b/>
              </w:rPr>
              <w:t>Ara Karar Tarihi</w:t>
            </w:r>
          </w:p>
        </w:tc>
        <w:tc>
          <w:tcPr>
            <w:tcW w:w="2610" w:type="dxa"/>
          </w:tcPr>
          <w:p w:rsidR="00925373" w:rsidRPr="00467CC6" w:rsidRDefault="00925373" w:rsidP="00925373">
            <w:pPr>
              <w:jc w:val="both"/>
              <w:rPr>
                <w:b/>
              </w:rPr>
            </w:pPr>
            <w:r w:rsidRPr="00467CC6">
              <w:rPr>
                <w:b/>
              </w:rPr>
              <w:t xml:space="preserve">: </w:t>
            </w:r>
            <w:r>
              <w:rPr>
                <w:b/>
              </w:rPr>
              <w:t>13.07.2015</w:t>
            </w:r>
            <w:r w:rsidRPr="00467CC6">
              <w:rPr>
                <w:b/>
              </w:rPr>
              <w:tab/>
            </w:r>
          </w:p>
        </w:tc>
        <w:tc>
          <w:tcPr>
            <w:tcW w:w="4946" w:type="dxa"/>
            <w:vMerge w:val="restart"/>
          </w:tcPr>
          <w:p w:rsidR="00925373" w:rsidRDefault="00925373" w:rsidP="001C3836">
            <w:pPr>
              <w:jc w:val="both"/>
              <w:rPr>
                <w:b/>
              </w:rPr>
            </w:pPr>
            <w:r w:rsidRPr="00467CC6">
              <w:rPr>
                <w:b/>
              </w:rPr>
              <w:t>KONU:</w:t>
            </w:r>
            <w:r>
              <w:rPr>
                <w:b/>
              </w:rPr>
              <w:t xml:space="preserve"> Yenişehir Belediye Meclisi’nin 01.06.2015 tarih ve 113 Sayılı Kararı</w:t>
            </w:r>
          </w:p>
          <w:p w:rsidR="00925373" w:rsidRPr="00467CC6" w:rsidRDefault="00925373" w:rsidP="00925373">
            <w:pPr>
              <w:jc w:val="both"/>
              <w:rPr>
                <w:b/>
              </w:rPr>
            </w:pPr>
            <w:r>
              <w:rPr>
                <w:b/>
              </w:rPr>
              <w:t>Mersin İli,  Yenişehir İlçesi, Menteş Mahallesi 7616 ada 1 numaralı parsele ilişkin 1/1000 Ölçekli Uygulama İmar Planı Değişikliği Teklifi</w:t>
            </w:r>
          </w:p>
        </w:tc>
      </w:tr>
      <w:tr w:rsidR="00925373" w:rsidRPr="00467CC6" w:rsidTr="001C3836">
        <w:tc>
          <w:tcPr>
            <w:tcW w:w="1800" w:type="dxa"/>
          </w:tcPr>
          <w:p w:rsidR="00925373" w:rsidRPr="00467CC6" w:rsidRDefault="00925373" w:rsidP="001C3836">
            <w:pPr>
              <w:jc w:val="both"/>
              <w:rPr>
                <w:b/>
              </w:rPr>
            </w:pPr>
            <w:r w:rsidRPr="00467CC6">
              <w:rPr>
                <w:b/>
              </w:rPr>
              <w:t>Ara Karar No</w:t>
            </w:r>
          </w:p>
        </w:tc>
        <w:tc>
          <w:tcPr>
            <w:tcW w:w="2610" w:type="dxa"/>
          </w:tcPr>
          <w:p w:rsidR="00925373" w:rsidRPr="00467CC6" w:rsidRDefault="00925373" w:rsidP="00925373">
            <w:pPr>
              <w:jc w:val="both"/>
              <w:rPr>
                <w:b/>
              </w:rPr>
            </w:pPr>
            <w:r w:rsidRPr="00467CC6">
              <w:rPr>
                <w:b/>
              </w:rPr>
              <w:t xml:space="preserve">: </w:t>
            </w:r>
            <w:r>
              <w:rPr>
                <w:b/>
              </w:rPr>
              <w:t>698</w:t>
            </w:r>
            <w:r w:rsidRPr="00467CC6">
              <w:rPr>
                <w:b/>
              </w:rPr>
              <w:tab/>
            </w:r>
          </w:p>
        </w:tc>
        <w:tc>
          <w:tcPr>
            <w:tcW w:w="4946" w:type="dxa"/>
            <w:vMerge/>
          </w:tcPr>
          <w:p w:rsidR="00925373" w:rsidRPr="00467CC6" w:rsidRDefault="00925373" w:rsidP="001C3836">
            <w:pPr>
              <w:jc w:val="both"/>
              <w:rPr>
                <w:b/>
              </w:rPr>
            </w:pPr>
          </w:p>
        </w:tc>
      </w:tr>
      <w:tr w:rsidR="00925373" w:rsidRPr="00467CC6" w:rsidTr="001C3836">
        <w:tc>
          <w:tcPr>
            <w:tcW w:w="1800" w:type="dxa"/>
          </w:tcPr>
          <w:p w:rsidR="00925373" w:rsidRPr="00467CC6" w:rsidRDefault="00925373" w:rsidP="001C3836">
            <w:pPr>
              <w:jc w:val="both"/>
              <w:rPr>
                <w:b/>
              </w:rPr>
            </w:pPr>
            <w:r w:rsidRPr="00467CC6">
              <w:rPr>
                <w:b/>
              </w:rPr>
              <w:t>Toplantı Tarihi</w:t>
            </w:r>
          </w:p>
        </w:tc>
        <w:tc>
          <w:tcPr>
            <w:tcW w:w="2610" w:type="dxa"/>
          </w:tcPr>
          <w:p w:rsidR="00925373" w:rsidRPr="00467CC6" w:rsidRDefault="00925373" w:rsidP="001C3836">
            <w:pPr>
              <w:jc w:val="both"/>
              <w:rPr>
                <w:b/>
              </w:rPr>
            </w:pPr>
            <w:r w:rsidRPr="00467CC6">
              <w:rPr>
                <w:b/>
              </w:rPr>
              <w:t>: .../.../2015</w:t>
            </w:r>
          </w:p>
        </w:tc>
        <w:tc>
          <w:tcPr>
            <w:tcW w:w="4946" w:type="dxa"/>
            <w:vMerge/>
          </w:tcPr>
          <w:p w:rsidR="00925373" w:rsidRPr="00467CC6" w:rsidRDefault="00925373" w:rsidP="001C3836">
            <w:pPr>
              <w:jc w:val="both"/>
              <w:rPr>
                <w:b/>
              </w:rPr>
            </w:pPr>
          </w:p>
        </w:tc>
      </w:tr>
      <w:tr w:rsidR="00925373" w:rsidRPr="00467CC6" w:rsidTr="001C3836">
        <w:tc>
          <w:tcPr>
            <w:tcW w:w="1800" w:type="dxa"/>
          </w:tcPr>
          <w:p w:rsidR="00925373" w:rsidRPr="00467CC6" w:rsidRDefault="00925373" w:rsidP="001C3836">
            <w:pPr>
              <w:jc w:val="both"/>
              <w:rPr>
                <w:b/>
              </w:rPr>
            </w:pPr>
            <w:r w:rsidRPr="00467CC6">
              <w:rPr>
                <w:b/>
              </w:rPr>
              <w:t>Toplantı Saati</w:t>
            </w:r>
          </w:p>
        </w:tc>
        <w:tc>
          <w:tcPr>
            <w:tcW w:w="2610" w:type="dxa"/>
          </w:tcPr>
          <w:p w:rsidR="00925373" w:rsidRPr="00467CC6" w:rsidRDefault="00925373" w:rsidP="001C3836">
            <w:pPr>
              <w:jc w:val="both"/>
              <w:rPr>
                <w:b/>
              </w:rPr>
            </w:pPr>
            <w:r>
              <w:rPr>
                <w:b/>
              </w:rPr>
              <w:t>: 14:</w:t>
            </w:r>
            <w:r w:rsidRPr="00467CC6">
              <w:rPr>
                <w:b/>
              </w:rPr>
              <w:t>00</w:t>
            </w:r>
          </w:p>
        </w:tc>
        <w:tc>
          <w:tcPr>
            <w:tcW w:w="4946" w:type="dxa"/>
            <w:vMerge/>
          </w:tcPr>
          <w:p w:rsidR="00925373" w:rsidRPr="00467CC6" w:rsidRDefault="00925373" w:rsidP="001C3836">
            <w:pPr>
              <w:jc w:val="both"/>
              <w:rPr>
                <w:b/>
              </w:rPr>
            </w:pPr>
          </w:p>
        </w:tc>
      </w:tr>
      <w:tr w:rsidR="00925373" w:rsidRPr="00467CC6" w:rsidTr="001C3836">
        <w:tc>
          <w:tcPr>
            <w:tcW w:w="1800" w:type="dxa"/>
          </w:tcPr>
          <w:p w:rsidR="00925373" w:rsidRPr="00467CC6" w:rsidRDefault="00925373" w:rsidP="001C3836">
            <w:pPr>
              <w:jc w:val="both"/>
              <w:rPr>
                <w:b/>
              </w:rPr>
            </w:pPr>
            <w:r w:rsidRPr="00467CC6">
              <w:rPr>
                <w:b/>
              </w:rPr>
              <w:t>Toplantı Yeri</w:t>
            </w:r>
          </w:p>
        </w:tc>
        <w:tc>
          <w:tcPr>
            <w:tcW w:w="2610" w:type="dxa"/>
          </w:tcPr>
          <w:p w:rsidR="00925373" w:rsidRPr="00467CC6" w:rsidRDefault="00925373" w:rsidP="001C3836">
            <w:pPr>
              <w:jc w:val="both"/>
              <w:rPr>
                <w:b/>
              </w:rPr>
            </w:pPr>
            <w:r w:rsidRPr="00467CC6">
              <w:rPr>
                <w:b/>
              </w:rPr>
              <w:t xml:space="preserve">: Toplantı Salonu </w:t>
            </w:r>
          </w:p>
        </w:tc>
        <w:tc>
          <w:tcPr>
            <w:tcW w:w="4946" w:type="dxa"/>
            <w:vMerge/>
          </w:tcPr>
          <w:p w:rsidR="00925373" w:rsidRPr="00467CC6" w:rsidRDefault="00925373" w:rsidP="001C3836">
            <w:pPr>
              <w:jc w:val="both"/>
              <w:rPr>
                <w:b/>
              </w:rPr>
            </w:pPr>
          </w:p>
        </w:tc>
      </w:tr>
    </w:tbl>
    <w:p w:rsidR="00925373" w:rsidRPr="00FE1C6C" w:rsidRDefault="00925373" w:rsidP="00925373">
      <w:pPr>
        <w:pBdr>
          <w:bottom w:val="single" w:sz="12" w:space="0" w:color="auto"/>
        </w:pBdr>
        <w:contextualSpacing/>
      </w:pPr>
    </w:p>
    <w:p w:rsidR="00925373" w:rsidRDefault="00925373" w:rsidP="00925373">
      <w:pPr>
        <w:pStyle w:val="Balk1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</w:p>
    <w:p w:rsidR="003C77E4" w:rsidRPr="003C77E4" w:rsidRDefault="00925373" w:rsidP="003C77E4">
      <w:pPr>
        <w:pStyle w:val="Balk1"/>
        <w:rPr>
          <w:rFonts w:ascii="Times New Roman" w:hAnsi="Times New Roman"/>
          <w:color w:val="auto"/>
          <w:sz w:val="24"/>
          <w:szCs w:val="24"/>
        </w:rPr>
      </w:pPr>
      <w:r w:rsidRPr="00FE1C6C">
        <w:rPr>
          <w:rFonts w:ascii="Times New Roman" w:hAnsi="Times New Roman"/>
          <w:color w:val="auto"/>
          <w:sz w:val="24"/>
          <w:szCs w:val="24"/>
        </w:rPr>
        <w:t>RAPOR</w:t>
      </w:r>
    </w:p>
    <w:p w:rsidR="00925373" w:rsidRPr="00835452" w:rsidRDefault="00835452" w:rsidP="009253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25373" w:rsidRPr="00835452">
        <w:rPr>
          <w:sz w:val="24"/>
          <w:szCs w:val="24"/>
        </w:rPr>
        <w:t xml:space="preserve">Yenişehir Belediye Meclisi’nin 01.06.2015 tarih ve 113 Sayılı Kararı </w:t>
      </w:r>
      <w:r w:rsidR="00925373" w:rsidRPr="00835452">
        <w:rPr>
          <w:bCs/>
          <w:sz w:val="24"/>
          <w:szCs w:val="24"/>
        </w:rPr>
        <w:t xml:space="preserve">ile onaylanan, </w:t>
      </w:r>
      <w:r w:rsidR="00925373" w:rsidRPr="00835452">
        <w:rPr>
          <w:sz w:val="24"/>
          <w:szCs w:val="24"/>
        </w:rPr>
        <w:t>Yenişehir İlçesi, Menteş Mahallesi 7616 ada 1 numaralı parsele ilişkin 1/1000 Ölçekli Uygulama İmar Planı değişikliği teklifi</w:t>
      </w:r>
      <w:r w:rsidR="00925373" w:rsidRPr="00835452">
        <w:rPr>
          <w:bCs/>
          <w:sz w:val="24"/>
          <w:szCs w:val="24"/>
        </w:rPr>
        <w:t>, Mersin Büyükşehir Belediye Meclisi’nin 13.07.2015 tarih ve 698 sayılı kararıyla İmar ve Bayındırlık-Komisyonu ile Eğitim-Kültür-Gençlik ve Spor Komisyonu’na müştereken havale edilmiştir.</w:t>
      </w:r>
    </w:p>
    <w:p w:rsidR="00925373" w:rsidRPr="009C35F1" w:rsidRDefault="00925373" w:rsidP="00925373">
      <w:pPr>
        <w:ind w:firstLine="708"/>
        <w:jc w:val="both"/>
        <w:rPr>
          <w:bCs/>
          <w:sz w:val="23"/>
          <w:szCs w:val="23"/>
        </w:rPr>
      </w:pPr>
      <w:r w:rsidRPr="009C35F1">
        <w:rPr>
          <w:sz w:val="23"/>
          <w:szCs w:val="23"/>
        </w:rPr>
        <w:t>Uygulama İmar Planı değişikliği teklifin</w:t>
      </w:r>
      <w:bookmarkStart w:id="0" w:name="_GoBack"/>
      <w:bookmarkEnd w:id="0"/>
      <w:r w:rsidRPr="009C35F1">
        <w:rPr>
          <w:sz w:val="23"/>
          <w:szCs w:val="23"/>
        </w:rPr>
        <w:t>e</w:t>
      </w:r>
      <w:r w:rsidRPr="009C35F1">
        <w:rPr>
          <w:bCs/>
          <w:sz w:val="23"/>
          <w:szCs w:val="23"/>
        </w:rPr>
        <w:t xml:space="preserve"> konu edilen yaklaşık </w:t>
      </w:r>
      <w:r>
        <w:rPr>
          <w:bCs/>
          <w:sz w:val="23"/>
          <w:szCs w:val="23"/>
        </w:rPr>
        <w:t>5767</w:t>
      </w:r>
      <w:r w:rsidRPr="009C35F1">
        <w:rPr>
          <w:bCs/>
          <w:sz w:val="23"/>
          <w:szCs w:val="23"/>
        </w:rPr>
        <w:t xml:space="preserve"> m² büyüklüğündeki alan yürürlükte bulunan 1/5000 Ölçekli Nazım İmar Planı</w:t>
      </w:r>
      <w:r>
        <w:rPr>
          <w:bCs/>
          <w:sz w:val="23"/>
          <w:szCs w:val="23"/>
        </w:rPr>
        <w:t>’nda “</w:t>
      </w:r>
      <w:r w:rsidR="00590893">
        <w:rPr>
          <w:bCs/>
          <w:sz w:val="23"/>
          <w:szCs w:val="23"/>
        </w:rPr>
        <w:t>Ortaöğretim</w:t>
      </w:r>
      <w:r>
        <w:rPr>
          <w:bCs/>
          <w:sz w:val="23"/>
          <w:szCs w:val="23"/>
        </w:rPr>
        <w:t xml:space="preserve"> Alanı, </w:t>
      </w:r>
      <w:r w:rsidRPr="009C35F1">
        <w:rPr>
          <w:bCs/>
          <w:sz w:val="23"/>
          <w:szCs w:val="23"/>
        </w:rPr>
        <w:t>1/1000 Ölçekli Uygulama İmar Planında “</w:t>
      </w:r>
      <w:r>
        <w:rPr>
          <w:bCs/>
          <w:sz w:val="23"/>
          <w:szCs w:val="23"/>
        </w:rPr>
        <w:t>Okul</w:t>
      </w:r>
      <w:r w:rsidRPr="009C35F1">
        <w:rPr>
          <w:bCs/>
          <w:sz w:val="23"/>
          <w:szCs w:val="23"/>
        </w:rPr>
        <w:t xml:space="preserve"> Alanı” olarak planlıdır. </w:t>
      </w:r>
      <w:r w:rsidR="00590893">
        <w:rPr>
          <w:bCs/>
          <w:sz w:val="23"/>
          <w:szCs w:val="23"/>
        </w:rPr>
        <w:t xml:space="preserve">Söz konusu alana Mersin Valiliği İl Milli Eğitim Müdürlüğü’nden “Özel Eğitim Tesisi” yapılmasına yönelik alınan muvafakat doğrultusunda, </w:t>
      </w:r>
      <w:r w:rsidR="00835452">
        <w:rPr>
          <w:bCs/>
          <w:sz w:val="23"/>
          <w:szCs w:val="23"/>
        </w:rPr>
        <w:t>anılan parseli “</w:t>
      </w:r>
      <w:r w:rsidR="00590893">
        <w:rPr>
          <w:bCs/>
          <w:sz w:val="23"/>
          <w:szCs w:val="23"/>
        </w:rPr>
        <w:t>Özel Eğitim Alanı</w:t>
      </w:r>
      <w:r w:rsidR="00835452">
        <w:rPr>
          <w:bCs/>
          <w:sz w:val="23"/>
          <w:szCs w:val="23"/>
        </w:rPr>
        <w:t xml:space="preserve">”olarak işaretlemek </w:t>
      </w:r>
      <w:r w:rsidR="00590893">
        <w:rPr>
          <w:bCs/>
          <w:sz w:val="23"/>
          <w:szCs w:val="23"/>
        </w:rPr>
        <w:t>ve</w:t>
      </w:r>
      <w:r w:rsidRPr="009C35F1">
        <w:rPr>
          <w:bCs/>
          <w:sz w:val="23"/>
          <w:szCs w:val="23"/>
        </w:rPr>
        <w:t xml:space="preserve"> yapılaşma koşullarını tanımlamak üzere </w:t>
      </w:r>
      <w:r w:rsidR="00590893">
        <w:rPr>
          <w:bCs/>
          <w:sz w:val="23"/>
          <w:szCs w:val="23"/>
        </w:rPr>
        <w:t xml:space="preserve">1/1000 Ölçekli </w:t>
      </w:r>
      <w:r w:rsidRPr="009C35F1">
        <w:rPr>
          <w:bCs/>
          <w:sz w:val="23"/>
          <w:szCs w:val="23"/>
        </w:rPr>
        <w:t>Uygulama İmar Planı değişikliği teklifi hazırlanmıştır.</w:t>
      </w:r>
    </w:p>
    <w:p w:rsidR="003C77E4" w:rsidRPr="00024AA8" w:rsidRDefault="00925373" w:rsidP="00925373">
      <w:pPr>
        <w:ind w:firstLine="708"/>
        <w:jc w:val="both"/>
        <w:rPr>
          <w:b/>
          <w:sz w:val="22"/>
          <w:szCs w:val="22"/>
        </w:rPr>
      </w:pPr>
      <w:r w:rsidRPr="009C35F1">
        <w:rPr>
          <w:bCs/>
          <w:sz w:val="23"/>
          <w:szCs w:val="23"/>
        </w:rPr>
        <w:t xml:space="preserve">Komisyonlarımız </w:t>
      </w:r>
      <w:r w:rsidRPr="009C35F1">
        <w:rPr>
          <w:sz w:val="23"/>
          <w:szCs w:val="23"/>
        </w:rPr>
        <w:t xml:space="preserve">tarafından dosya üzerinde ve ilgili mevzuat çerçevesinde yapılan incelemeler neticesinde; </w:t>
      </w:r>
      <w:r w:rsidRPr="009C35F1">
        <w:rPr>
          <w:bCs/>
          <w:sz w:val="23"/>
          <w:szCs w:val="23"/>
        </w:rPr>
        <w:t>Uygulama İmar Planı değişikliği teklifi ile “</w:t>
      </w:r>
      <w:r w:rsidR="00835452">
        <w:rPr>
          <w:bCs/>
          <w:sz w:val="23"/>
          <w:szCs w:val="23"/>
        </w:rPr>
        <w:t>Okul</w:t>
      </w:r>
      <w:r w:rsidRPr="009C35F1">
        <w:rPr>
          <w:bCs/>
          <w:sz w:val="23"/>
          <w:szCs w:val="23"/>
        </w:rPr>
        <w:t xml:space="preserve"> Alanı” kullanım kararı “</w:t>
      </w:r>
      <w:r w:rsidR="00835452">
        <w:rPr>
          <w:bCs/>
          <w:sz w:val="23"/>
          <w:szCs w:val="23"/>
        </w:rPr>
        <w:t>Özel Eğitim</w:t>
      </w:r>
      <w:r w:rsidRPr="009C35F1">
        <w:rPr>
          <w:bCs/>
          <w:sz w:val="23"/>
          <w:szCs w:val="23"/>
        </w:rPr>
        <w:t xml:space="preserve"> Alan</w:t>
      </w:r>
      <w:r w:rsidR="00835452">
        <w:rPr>
          <w:bCs/>
          <w:sz w:val="23"/>
          <w:szCs w:val="23"/>
        </w:rPr>
        <w:t xml:space="preserve">ı” olarak değiştirilerek, </w:t>
      </w:r>
      <w:r w:rsidR="00835452" w:rsidRPr="00835452">
        <w:rPr>
          <w:bCs/>
          <w:i/>
          <w:sz w:val="23"/>
          <w:szCs w:val="23"/>
        </w:rPr>
        <w:t>“E:0.90, Taks:0.40, Yençok</w:t>
      </w:r>
      <w:r w:rsidRPr="00835452">
        <w:rPr>
          <w:bCs/>
          <w:i/>
          <w:sz w:val="23"/>
          <w:szCs w:val="23"/>
        </w:rPr>
        <w:t>:Serbest</w:t>
      </w:r>
      <w:r w:rsidR="00835452" w:rsidRPr="00835452">
        <w:rPr>
          <w:bCs/>
          <w:i/>
          <w:sz w:val="23"/>
          <w:szCs w:val="23"/>
        </w:rPr>
        <w:t>”</w:t>
      </w:r>
      <w:r w:rsidRPr="009C35F1">
        <w:rPr>
          <w:bCs/>
          <w:sz w:val="23"/>
          <w:szCs w:val="23"/>
        </w:rPr>
        <w:t xml:space="preserve"> yapılaşma koşulu öngörüldüğü </w:t>
      </w:r>
      <w:r w:rsidR="00835452">
        <w:rPr>
          <w:bCs/>
          <w:sz w:val="23"/>
          <w:szCs w:val="23"/>
        </w:rPr>
        <w:t xml:space="preserve">ve mimari projede tasarımı esnetmek adına çekme mesafelerinin 5 metreye düşürüldüğü </w:t>
      </w:r>
      <w:r w:rsidRPr="009C35F1">
        <w:rPr>
          <w:bCs/>
          <w:sz w:val="23"/>
          <w:szCs w:val="23"/>
        </w:rPr>
        <w:t>tespit edilmiştir. Mersin Valiliği Çevre ve Şehircilik İl Müdürlüğüne,</w:t>
      </w:r>
      <w:r w:rsidR="00835452">
        <w:rPr>
          <w:bCs/>
          <w:sz w:val="23"/>
          <w:szCs w:val="23"/>
        </w:rPr>
        <w:t xml:space="preserve"> imar planlarında yer alan“Kamusal Eğitim Alanlarının”,</w:t>
      </w:r>
      <w:r w:rsidRPr="009C35F1">
        <w:rPr>
          <w:bCs/>
          <w:sz w:val="23"/>
          <w:szCs w:val="23"/>
        </w:rPr>
        <w:t xml:space="preserve"> “Özel Eğitim Alanı” </w:t>
      </w:r>
      <w:r w:rsidR="00835452">
        <w:rPr>
          <w:bCs/>
          <w:sz w:val="23"/>
          <w:szCs w:val="23"/>
        </w:rPr>
        <w:t xml:space="preserve">dönüştürülmesi </w:t>
      </w:r>
      <w:r>
        <w:rPr>
          <w:bCs/>
          <w:sz w:val="23"/>
          <w:szCs w:val="23"/>
        </w:rPr>
        <w:t>ile ilgili görüş sorulmuştur.</w:t>
      </w:r>
      <w:r w:rsidRPr="009C35F1">
        <w:rPr>
          <w:bCs/>
          <w:sz w:val="23"/>
          <w:szCs w:val="23"/>
        </w:rPr>
        <w:t>Çevre ve Şehircilik İl Müdürlüğü</w:t>
      </w:r>
      <w:r w:rsidR="009703EB">
        <w:rPr>
          <w:bCs/>
          <w:sz w:val="23"/>
          <w:szCs w:val="23"/>
        </w:rPr>
        <w:t xml:space="preserve">;Mekansal Planlar Yapım Yönetmeliği’nde de belirtildiği üzere </w:t>
      </w:r>
      <w:r w:rsidRPr="009C35F1">
        <w:rPr>
          <w:bCs/>
          <w:sz w:val="23"/>
          <w:szCs w:val="23"/>
        </w:rPr>
        <w:t>kamusal kullanıma ait kentsel sosyal ve teknik altyapı alanlarının</w:t>
      </w:r>
      <w:r w:rsidR="009703EB">
        <w:rPr>
          <w:bCs/>
          <w:sz w:val="23"/>
          <w:szCs w:val="23"/>
        </w:rPr>
        <w:t>,</w:t>
      </w:r>
      <w:r w:rsidRPr="009C35F1">
        <w:rPr>
          <w:bCs/>
          <w:sz w:val="23"/>
          <w:szCs w:val="23"/>
        </w:rPr>
        <w:t xml:space="preserve"> imar planlarından kaldırılması durumunda, aynı plan onama sınırları içerisinde ve tesisin etki alanı mesafesi dahilinde ilgili Yönetme</w:t>
      </w:r>
      <w:r>
        <w:rPr>
          <w:bCs/>
          <w:sz w:val="23"/>
          <w:szCs w:val="23"/>
        </w:rPr>
        <w:t xml:space="preserve">likte belirlendiği şekliyle </w:t>
      </w:r>
      <w:r w:rsidRPr="009C35F1">
        <w:rPr>
          <w:bCs/>
          <w:sz w:val="23"/>
          <w:szCs w:val="23"/>
        </w:rPr>
        <w:t>eş değer alan ayrılması ger</w:t>
      </w:r>
      <w:r w:rsidR="00750619">
        <w:rPr>
          <w:bCs/>
          <w:sz w:val="23"/>
          <w:szCs w:val="23"/>
        </w:rPr>
        <w:t>ektiği, görüşünü belirtmiştir.</w:t>
      </w:r>
      <w:r w:rsidRPr="009C35F1">
        <w:rPr>
          <w:bCs/>
          <w:sz w:val="23"/>
          <w:szCs w:val="23"/>
        </w:rPr>
        <w:t xml:space="preserve"> Çevre ve Şehircilik İl Müdürlüğü</w:t>
      </w:r>
      <w:r>
        <w:rPr>
          <w:bCs/>
          <w:sz w:val="23"/>
          <w:szCs w:val="23"/>
        </w:rPr>
        <w:t>’nün ilgi görüşü ve Mek</w:t>
      </w:r>
      <w:r w:rsidR="009703EB">
        <w:rPr>
          <w:bCs/>
          <w:sz w:val="23"/>
          <w:szCs w:val="23"/>
        </w:rPr>
        <w:t xml:space="preserve">ansal Planlar Yapım Yönetmeliği’nin ilgili hükmü </w:t>
      </w:r>
      <w:r>
        <w:rPr>
          <w:bCs/>
          <w:sz w:val="23"/>
          <w:szCs w:val="23"/>
        </w:rPr>
        <w:t>doğrultusunda</w:t>
      </w:r>
      <w:r w:rsidR="009703EB">
        <w:rPr>
          <w:bCs/>
          <w:sz w:val="23"/>
          <w:szCs w:val="23"/>
        </w:rPr>
        <w:t xml:space="preserve">; </w:t>
      </w:r>
      <w:r w:rsidR="009703EB" w:rsidRPr="009703EB">
        <w:rPr>
          <w:b/>
          <w:bCs/>
          <w:i/>
          <w:sz w:val="23"/>
          <w:szCs w:val="23"/>
        </w:rPr>
        <w:t>“</w:t>
      </w:r>
      <w:r w:rsidR="009703EB" w:rsidRPr="00E8505B">
        <w:rPr>
          <w:bCs/>
          <w:i/>
          <w:sz w:val="23"/>
          <w:szCs w:val="23"/>
        </w:rPr>
        <w:t xml:space="preserve">Özel Eğitim Alanı” kullanım kararı </w:t>
      </w:r>
      <w:r w:rsidRPr="00E8505B">
        <w:rPr>
          <w:bCs/>
          <w:i/>
          <w:sz w:val="23"/>
          <w:szCs w:val="23"/>
        </w:rPr>
        <w:t>“</w:t>
      </w:r>
      <w:r w:rsidR="009703EB" w:rsidRPr="00E8505B">
        <w:rPr>
          <w:bCs/>
          <w:i/>
          <w:sz w:val="23"/>
          <w:szCs w:val="23"/>
        </w:rPr>
        <w:t>O</w:t>
      </w:r>
      <w:r w:rsidR="00CF2D24">
        <w:rPr>
          <w:bCs/>
          <w:i/>
          <w:sz w:val="23"/>
          <w:szCs w:val="23"/>
        </w:rPr>
        <w:t>rtaokul Alanı"</w:t>
      </w:r>
      <w:r w:rsidR="00CF2D24">
        <w:rPr>
          <w:bCs/>
          <w:sz w:val="23"/>
          <w:szCs w:val="23"/>
        </w:rPr>
        <w:t xml:space="preserve"> şeklin</w:t>
      </w:r>
      <w:r w:rsidR="00E8505B">
        <w:rPr>
          <w:bCs/>
          <w:sz w:val="23"/>
          <w:szCs w:val="23"/>
        </w:rPr>
        <w:t>de</w:t>
      </w:r>
      <w:r w:rsidR="00CF2D24">
        <w:rPr>
          <w:bCs/>
          <w:sz w:val="23"/>
          <w:szCs w:val="23"/>
        </w:rPr>
        <w:t xml:space="preserve"> </w:t>
      </w:r>
      <w:r w:rsidR="009703EB">
        <w:rPr>
          <w:bCs/>
          <w:sz w:val="23"/>
          <w:szCs w:val="23"/>
        </w:rPr>
        <w:t>düzenlenerek</w:t>
      </w:r>
      <w:r w:rsidR="00CF2D24">
        <w:rPr>
          <w:bCs/>
          <w:sz w:val="23"/>
          <w:szCs w:val="23"/>
        </w:rPr>
        <w:t xml:space="preserve"> </w:t>
      </w:r>
      <w:r w:rsidR="00024AA8">
        <w:rPr>
          <w:sz w:val="24"/>
          <w:szCs w:val="24"/>
        </w:rPr>
        <w:t>3194 sayılı İmar Kanunun 8/b maddesi gereğince</w:t>
      </w:r>
      <w:r w:rsidR="00CF2D24">
        <w:rPr>
          <w:sz w:val="24"/>
          <w:szCs w:val="24"/>
        </w:rPr>
        <w:t xml:space="preserve"> </w:t>
      </w:r>
      <w:r w:rsidR="00CF2D24">
        <w:rPr>
          <w:bCs/>
          <w:sz w:val="23"/>
          <w:szCs w:val="23"/>
        </w:rPr>
        <w:t>e</w:t>
      </w:r>
      <w:r w:rsidRPr="009C35F1">
        <w:rPr>
          <w:bCs/>
          <w:sz w:val="23"/>
          <w:szCs w:val="23"/>
        </w:rPr>
        <w:t xml:space="preserve">kli paraflı krokide görüldüğü şekliyle </w:t>
      </w:r>
      <w:r w:rsidRPr="009C35F1">
        <w:rPr>
          <w:b/>
          <w:bCs/>
          <w:sz w:val="23"/>
          <w:szCs w:val="23"/>
        </w:rPr>
        <w:t>tadilen</w:t>
      </w:r>
      <w:r w:rsidR="00CF2D24">
        <w:rPr>
          <w:b/>
          <w:bCs/>
          <w:sz w:val="23"/>
          <w:szCs w:val="23"/>
        </w:rPr>
        <w:t xml:space="preserve"> </w:t>
      </w:r>
      <w:r w:rsidRPr="009C35F1">
        <w:rPr>
          <w:bCs/>
          <w:sz w:val="23"/>
          <w:szCs w:val="23"/>
        </w:rPr>
        <w:t>onaylanmasına komisyonlarımız tarafından karar verilmiştir.</w:t>
      </w:r>
    </w:p>
    <w:p w:rsidR="003C77E4" w:rsidRDefault="003C77E4" w:rsidP="00925373">
      <w:pPr>
        <w:ind w:firstLine="708"/>
        <w:jc w:val="both"/>
        <w:rPr>
          <w:bCs/>
          <w:sz w:val="23"/>
          <w:szCs w:val="23"/>
        </w:rPr>
      </w:pPr>
    </w:p>
    <w:p w:rsidR="00925373" w:rsidRPr="009C35F1" w:rsidRDefault="00925373" w:rsidP="00925373">
      <w:pPr>
        <w:ind w:firstLine="708"/>
        <w:jc w:val="both"/>
        <w:rPr>
          <w:bCs/>
          <w:sz w:val="19"/>
          <w:szCs w:val="19"/>
        </w:rPr>
      </w:pPr>
      <w:r w:rsidRPr="009C35F1">
        <w:rPr>
          <w:b/>
          <w:sz w:val="19"/>
          <w:szCs w:val="19"/>
        </w:rPr>
        <w:t>EĞİTİM-KÜLTÜR-GENÇLİK VE SPOR KOMİSYONU ÜYELERİNİN ADI SOYADI VE İMZASI</w:t>
      </w:r>
    </w:p>
    <w:tbl>
      <w:tblPr>
        <w:tblW w:w="9322" w:type="dxa"/>
        <w:tblLook w:val="04A0"/>
      </w:tblPr>
      <w:tblGrid>
        <w:gridCol w:w="2376"/>
        <w:gridCol w:w="694"/>
        <w:gridCol w:w="1716"/>
        <w:gridCol w:w="1355"/>
        <w:gridCol w:w="913"/>
        <w:gridCol w:w="2268"/>
      </w:tblGrid>
      <w:tr w:rsidR="00925373" w:rsidRPr="009C35F1" w:rsidTr="001C3836">
        <w:tc>
          <w:tcPr>
            <w:tcW w:w="2376" w:type="dxa"/>
          </w:tcPr>
          <w:p w:rsidR="00925373" w:rsidRPr="009C35F1" w:rsidRDefault="009A5E40" w:rsidP="001C3836">
            <w:pPr>
              <w:spacing w:before="120"/>
              <w:jc w:val="center"/>
              <w:rPr>
                <w:rFonts w:eastAsia="Calibri"/>
                <w:b/>
              </w:rPr>
            </w:pPr>
            <w:r w:rsidRPr="009A5E40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2" o:spid="_x0000_s1026" type="#_x0000_t32" style="position:absolute;left:0;text-align:left;margin-left:-1.5pt;margin-top:.6pt;width:466.5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" strokeweight="1.5pt"/>
              </w:pict>
            </w:r>
            <w:r w:rsidR="00925373" w:rsidRPr="009C35F1">
              <w:rPr>
                <w:rFonts w:eastAsia="Calibri"/>
                <w:b/>
              </w:rPr>
              <w:t>KOMİSYON BAŞKANI</w:t>
            </w:r>
          </w:p>
          <w:p w:rsidR="00925373" w:rsidRPr="009C35F1" w:rsidRDefault="00925373" w:rsidP="001C3836">
            <w:pPr>
              <w:jc w:val="center"/>
              <w:rPr>
                <w:rFonts w:eastAsia="Calibri"/>
              </w:rPr>
            </w:pPr>
            <w:r w:rsidRPr="009C35F1">
              <w:rPr>
                <w:rFonts w:eastAsia="Calibri"/>
                <w:b/>
              </w:rPr>
              <w:t xml:space="preserve">Kerim KICIMAN </w:t>
            </w:r>
          </w:p>
          <w:p w:rsidR="00925373" w:rsidRPr="009C35F1" w:rsidRDefault="00925373" w:rsidP="001C3836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gridSpan w:val="2"/>
          </w:tcPr>
          <w:p w:rsidR="00925373" w:rsidRPr="009C35F1" w:rsidRDefault="00925373" w:rsidP="001C3836">
            <w:pPr>
              <w:tabs>
                <w:tab w:val="right" w:pos="2194"/>
              </w:tabs>
              <w:spacing w:before="120"/>
              <w:jc w:val="center"/>
              <w:rPr>
                <w:rFonts w:eastAsia="Calibri"/>
                <w:b/>
              </w:rPr>
            </w:pPr>
            <w:r w:rsidRPr="009C35F1">
              <w:rPr>
                <w:rFonts w:eastAsia="Calibri"/>
                <w:b/>
              </w:rPr>
              <w:t>KOMİSYON BŞK V.</w:t>
            </w:r>
          </w:p>
          <w:p w:rsidR="00925373" w:rsidRPr="009C35F1" w:rsidRDefault="00925373" w:rsidP="00925373">
            <w:pPr>
              <w:jc w:val="center"/>
              <w:rPr>
                <w:rFonts w:eastAsia="Calibri"/>
                <w:b/>
              </w:rPr>
            </w:pPr>
            <w:r w:rsidRPr="009C35F1">
              <w:rPr>
                <w:rFonts w:eastAsia="Calibri"/>
                <w:b/>
              </w:rPr>
              <w:t>Derya ÖZİNÇ</w:t>
            </w:r>
          </w:p>
          <w:p w:rsidR="00925373" w:rsidRPr="009C35F1" w:rsidRDefault="00925373" w:rsidP="001C383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268" w:type="dxa"/>
            <w:gridSpan w:val="2"/>
          </w:tcPr>
          <w:p w:rsidR="00925373" w:rsidRPr="009C35F1" w:rsidRDefault="00925373" w:rsidP="001C3836">
            <w:pPr>
              <w:spacing w:before="120"/>
              <w:jc w:val="center"/>
              <w:rPr>
                <w:rFonts w:eastAsia="Calibri"/>
                <w:b/>
              </w:rPr>
            </w:pPr>
            <w:r w:rsidRPr="009C35F1">
              <w:rPr>
                <w:rFonts w:eastAsia="Calibri"/>
                <w:b/>
              </w:rPr>
              <w:t>ÜYE</w:t>
            </w:r>
          </w:p>
          <w:p w:rsidR="00925373" w:rsidRPr="009C35F1" w:rsidRDefault="00925373" w:rsidP="001C3836">
            <w:pPr>
              <w:jc w:val="center"/>
              <w:rPr>
                <w:rFonts w:eastAsia="Calibri"/>
                <w:b/>
              </w:rPr>
            </w:pPr>
            <w:r w:rsidRPr="009C35F1">
              <w:rPr>
                <w:rFonts w:eastAsia="Calibri"/>
                <w:b/>
              </w:rPr>
              <w:t>Hikmet KOÇ</w:t>
            </w:r>
          </w:p>
        </w:tc>
        <w:tc>
          <w:tcPr>
            <w:tcW w:w="2268" w:type="dxa"/>
          </w:tcPr>
          <w:p w:rsidR="00925373" w:rsidRPr="009C35F1" w:rsidRDefault="00925373" w:rsidP="001C3836">
            <w:pPr>
              <w:spacing w:before="120"/>
              <w:jc w:val="center"/>
              <w:rPr>
                <w:rFonts w:eastAsia="Calibri"/>
                <w:b/>
              </w:rPr>
            </w:pPr>
            <w:r w:rsidRPr="009C35F1">
              <w:rPr>
                <w:rFonts w:eastAsia="Calibri"/>
                <w:b/>
              </w:rPr>
              <w:t>ÜYE</w:t>
            </w:r>
          </w:p>
          <w:p w:rsidR="00925373" w:rsidRPr="009C35F1" w:rsidRDefault="00925373" w:rsidP="001C3836">
            <w:pPr>
              <w:jc w:val="center"/>
              <w:rPr>
                <w:rFonts w:eastAsia="Calibri"/>
                <w:b/>
              </w:rPr>
            </w:pPr>
            <w:r w:rsidRPr="009C35F1">
              <w:rPr>
                <w:rFonts w:eastAsia="Calibri"/>
                <w:b/>
              </w:rPr>
              <w:t>Arif ÇİNKO</w:t>
            </w:r>
          </w:p>
          <w:p w:rsidR="00925373" w:rsidRPr="009C35F1" w:rsidRDefault="00925373" w:rsidP="001C3836">
            <w:pPr>
              <w:jc w:val="center"/>
              <w:rPr>
                <w:rFonts w:eastAsia="Calibri"/>
                <w:b/>
              </w:rPr>
            </w:pPr>
          </w:p>
          <w:p w:rsidR="00925373" w:rsidRPr="009C35F1" w:rsidRDefault="00925373" w:rsidP="001C3836">
            <w:pPr>
              <w:jc w:val="center"/>
              <w:rPr>
                <w:rFonts w:eastAsia="Calibri"/>
                <w:b/>
              </w:rPr>
            </w:pPr>
          </w:p>
        </w:tc>
      </w:tr>
      <w:tr w:rsidR="00925373" w:rsidRPr="009C35F1" w:rsidTr="00BB751B">
        <w:trPr>
          <w:trHeight w:val="302"/>
        </w:trPr>
        <w:tc>
          <w:tcPr>
            <w:tcW w:w="3070" w:type="dxa"/>
            <w:gridSpan w:val="2"/>
            <w:vAlign w:val="center"/>
          </w:tcPr>
          <w:p w:rsidR="00925373" w:rsidRPr="009C35F1" w:rsidRDefault="00925373" w:rsidP="001C3836">
            <w:pPr>
              <w:jc w:val="center"/>
              <w:rPr>
                <w:rFonts w:eastAsia="Calibri"/>
                <w:b/>
              </w:rPr>
            </w:pPr>
            <w:r w:rsidRPr="009C35F1">
              <w:rPr>
                <w:rFonts w:eastAsia="Calibri"/>
                <w:b/>
              </w:rPr>
              <w:t>ÜYE</w:t>
            </w:r>
          </w:p>
          <w:p w:rsidR="00925373" w:rsidRPr="009C35F1" w:rsidRDefault="00925373" w:rsidP="001C3836">
            <w:pPr>
              <w:jc w:val="center"/>
              <w:rPr>
                <w:rFonts w:eastAsia="Calibri"/>
                <w:b/>
              </w:rPr>
            </w:pPr>
            <w:r w:rsidRPr="009C35F1">
              <w:rPr>
                <w:rFonts w:eastAsia="Calibri"/>
                <w:b/>
              </w:rPr>
              <w:t>Yaşar YILDIRIM</w:t>
            </w:r>
          </w:p>
        </w:tc>
        <w:tc>
          <w:tcPr>
            <w:tcW w:w="3071" w:type="dxa"/>
            <w:gridSpan w:val="2"/>
            <w:vAlign w:val="center"/>
          </w:tcPr>
          <w:p w:rsidR="00925373" w:rsidRPr="009C35F1" w:rsidRDefault="00925373" w:rsidP="001C3836">
            <w:pPr>
              <w:jc w:val="center"/>
              <w:rPr>
                <w:rFonts w:eastAsia="Calibri"/>
                <w:b/>
              </w:rPr>
            </w:pPr>
            <w:r w:rsidRPr="009C35F1">
              <w:rPr>
                <w:rFonts w:eastAsia="Calibri"/>
                <w:b/>
              </w:rPr>
              <w:t>ÜYE</w:t>
            </w:r>
          </w:p>
          <w:p w:rsidR="00925373" w:rsidRPr="009C35F1" w:rsidRDefault="00925373" w:rsidP="00925373">
            <w:pPr>
              <w:jc w:val="center"/>
              <w:rPr>
                <w:rFonts w:eastAsia="Calibri"/>
                <w:b/>
              </w:rPr>
            </w:pPr>
            <w:r w:rsidRPr="009C35F1">
              <w:rPr>
                <w:rFonts w:eastAsia="Calibri"/>
                <w:b/>
              </w:rPr>
              <w:t>Ali Rıza KİBRİT</w:t>
            </w:r>
          </w:p>
          <w:p w:rsidR="00925373" w:rsidRPr="009C35F1" w:rsidRDefault="00925373" w:rsidP="001C383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925373" w:rsidRPr="009C35F1" w:rsidRDefault="00925373" w:rsidP="001C3836">
            <w:pPr>
              <w:jc w:val="center"/>
              <w:rPr>
                <w:rFonts w:eastAsia="Calibri"/>
                <w:b/>
              </w:rPr>
            </w:pPr>
            <w:r w:rsidRPr="009C35F1">
              <w:rPr>
                <w:rFonts w:eastAsia="Calibri"/>
                <w:b/>
              </w:rPr>
              <w:t>ÜYE</w:t>
            </w:r>
          </w:p>
          <w:p w:rsidR="00997FEC" w:rsidRPr="009C35F1" w:rsidRDefault="00925373" w:rsidP="001C3836">
            <w:pPr>
              <w:jc w:val="center"/>
              <w:rPr>
                <w:rFonts w:eastAsia="Calibri"/>
                <w:b/>
              </w:rPr>
            </w:pPr>
            <w:r w:rsidRPr="009C35F1">
              <w:rPr>
                <w:rFonts w:eastAsia="Calibri"/>
                <w:b/>
              </w:rPr>
              <w:t>Kadir CANLI</w:t>
            </w:r>
          </w:p>
        </w:tc>
      </w:tr>
    </w:tbl>
    <w:p w:rsidR="00360808" w:rsidRDefault="00360808" w:rsidP="00BB751B"/>
    <w:sectPr w:rsidR="00360808" w:rsidSect="009A5E4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52C" w:rsidRDefault="00FE152C" w:rsidP="00925373">
      <w:r>
        <w:separator/>
      </w:r>
    </w:p>
  </w:endnote>
  <w:endnote w:type="continuationSeparator" w:id="1">
    <w:p w:rsidR="00FE152C" w:rsidRDefault="00FE152C" w:rsidP="00925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73" w:rsidRPr="00110B65" w:rsidRDefault="00925373" w:rsidP="00925373">
    <w:pPr>
      <w:pBdr>
        <w:bottom w:val="single" w:sz="12" w:space="1" w:color="auto"/>
      </w:pBdr>
      <w:rPr>
        <w:b/>
      </w:rPr>
    </w:pPr>
    <w:r w:rsidRPr="00110B65">
      <w:rPr>
        <w:b/>
      </w:rPr>
      <w:t>İMAR VE BAYINDIRLIK KOMİSYONU ÜYELERİNİN ADI SOYADI VE İMZASI</w:t>
    </w:r>
  </w:p>
  <w:tbl>
    <w:tblPr>
      <w:tblW w:w="9322" w:type="dxa"/>
      <w:tblLook w:val="04A0"/>
    </w:tblPr>
    <w:tblGrid>
      <w:gridCol w:w="2376"/>
      <w:gridCol w:w="694"/>
      <w:gridCol w:w="1716"/>
      <w:gridCol w:w="1355"/>
      <w:gridCol w:w="913"/>
      <w:gridCol w:w="2268"/>
    </w:tblGrid>
    <w:tr w:rsidR="00925373" w:rsidRPr="00110B65" w:rsidTr="001C3836">
      <w:tc>
        <w:tcPr>
          <w:tcW w:w="2376" w:type="dxa"/>
        </w:tcPr>
        <w:p w:rsidR="00925373" w:rsidRPr="00110B65" w:rsidRDefault="00925373" w:rsidP="00925373">
          <w:pPr>
            <w:spacing w:before="120"/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 xml:space="preserve">KOMİSYON BAŞKANI </w:t>
          </w:r>
        </w:p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İsmail YERLİKAYA</w:t>
          </w:r>
        </w:p>
      </w:tc>
      <w:tc>
        <w:tcPr>
          <w:tcW w:w="2410" w:type="dxa"/>
          <w:gridSpan w:val="2"/>
        </w:tcPr>
        <w:p w:rsidR="00925373" w:rsidRPr="00110B65" w:rsidRDefault="00925373" w:rsidP="00925373">
          <w:pPr>
            <w:tabs>
              <w:tab w:val="right" w:pos="2194"/>
            </w:tabs>
            <w:spacing w:before="120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ab/>
            <w:t>KOMİSYON BŞK V.</w:t>
          </w:r>
        </w:p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Ayla KOÇ IŞIK</w:t>
          </w:r>
        </w:p>
      </w:tc>
      <w:tc>
        <w:tcPr>
          <w:tcW w:w="2268" w:type="dxa"/>
          <w:gridSpan w:val="2"/>
        </w:tcPr>
        <w:p w:rsidR="00925373" w:rsidRPr="00110B65" w:rsidRDefault="00925373" w:rsidP="00925373">
          <w:pPr>
            <w:spacing w:before="120"/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ÜYE</w:t>
          </w:r>
        </w:p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Kerim TUFAN</w:t>
          </w:r>
        </w:p>
      </w:tc>
      <w:tc>
        <w:tcPr>
          <w:tcW w:w="2268" w:type="dxa"/>
        </w:tcPr>
        <w:p w:rsidR="00925373" w:rsidRPr="00110B65" w:rsidRDefault="00925373" w:rsidP="00925373">
          <w:pPr>
            <w:spacing w:before="120"/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ÜYE</w:t>
          </w:r>
        </w:p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Serdar ARSLAN</w:t>
          </w:r>
        </w:p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</w:p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</w:p>
      </w:tc>
    </w:tr>
    <w:tr w:rsidR="00925373" w:rsidRPr="00110B65" w:rsidTr="001C3836">
      <w:tc>
        <w:tcPr>
          <w:tcW w:w="3070" w:type="dxa"/>
          <w:gridSpan w:val="2"/>
        </w:tcPr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ÜYE</w:t>
          </w:r>
        </w:p>
        <w:p w:rsidR="00925373" w:rsidRPr="00110B65" w:rsidRDefault="00BB751B" w:rsidP="00925373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M. Ozgur SANAL</w:t>
          </w:r>
        </w:p>
      </w:tc>
      <w:tc>
        <w:tcPr>
          <w:tcW w:w="3071" w:type="dxa"/>
          <w:gridSpan w:val="2"/>
        </w:tcPr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ÜYE</w:t>
          </w:r>
        </w:p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Selami ARICI</w:t>
          </w:r>
        </w:p>
      </w:tc>
      <w:tc>
        <w:tcPr>
          <w:tcW w:w="3181" w:type="dxa"/>
          <w:gridSpan w:val="2"/>
        </w:tcPr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ÜYE</w:t>
          </w:r>
        </w:p>
        <w:p w:rsidR="00925373" w:rsidRPr="00110B65" w:rsidRDefault="00925373" w:rsidP="00925373">
          <w:pPr>
            <w:jc w:val="center"/>
            <w:rPr>
              <w:rFonts w:eastAsia="Calibri"/>
              <w:b/>
            </w:rPr>
          </w:pPr>
          <w:r w:rsidRPr="00110B65">
            <w:rPr>
              <w:rFonts w:eastAsia="Calibri"/>
              <w:b/>
            </w:rPr>
            <w:t>Kerim KICIMAN</w:t>
          </w:r>
        </w:p>
      </w:tc>
    </w:tr>
  </w:tbl>
  <w:p w:rsidR="00925373" w:rsidRDefault="00925373" w:rsidP="00925373">
    <w:pPr>
      <w:pStyle w:val="Altbilgi"/>
    </w:pPr>
  </w:p>
  <w:p w:rsidR="00925373" w:rsidRDefault="0092537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52C" w:rsidRDefault="00FE152C" w:rsidP="00925373">
      <w:r>
        <w:separator/>
      </w:r>
    </w:p>
  </w:footnote>
  <w:footnote w:type="continuationSeparator" w:id="1">
    <w:p w:rsidR="00FE152C" w:rsidRDefault="00FE152C" w:rsidP="00925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8A8"/>
    <w:rsid w:val="00024AA8"/>
    <w:rsid w:val="000D06B3"/>
    <w:rsid w:val="00191CDA"/>
    <w:rsid w:val="00307D0A"/>
    <w:rsid w:val="00360808"/>
    <w:rsid w:val="003A2AF3"/>
    <w:rsid w:val="003C77E4"/>
    <w:rsid w:val="004F47F7"/>
    <w:rsid w:val="00590893"/>
    <w:rsid w:val="00750619"/>
    <w:rsid w:val="00835452"/>
    <w:rsid w:val="00925373"/>
    <w:rsid w:val="009703EB"/>
    <w:rsid w:val="00997FEC"/>
    <w:rsid w:val="009A5E40"/>
    <w:rsid w:val="009D0CD3"/>
    <w:rsid w:val="00BB751B"/>
    <w:rsid w:val="00CF2D24"/>
    <w:rsid w:val="00E57490"/>
    <w:rsid w:val="00E8505B"/>
    <w:rsid w:val="00EE433A"/>
    <w:rsid w:val="00F138A8"/>
    <w:rsid w:val="00FE1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Düz Ok Bağlayıcısı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1"/>
    <w:uiPriority w:val="9"/>
    <w:qFormat/>
    <w:rsid w:val="00925373"/>
    <w:pPr>
      <w:keepNext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uiPriority w:val="9"/>
    <w:rsid w:val="009253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925373"/>
    <w:rPr>
      <w:rFonts w:ascii="Arial" w:hAnsi="Arial"/>
      <w:b/>
    </w:rPr>
  </w:style>
  <w:style w:type="character" w:customStyle="1" w:styleId="GvdeMetniChar">
    <w:name w:val="Gövde Metni Char"/>
    <w:basedOn w:val="VarsaylanParagrafYazTipi"/>
    <w:link w:val="GvdeMetni"/>
    <w:rsid w:val="00925373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1Char1">
    <w:name w:val="Başlık 1 Char1"/>
    <w:link w:val="Balk1"/>
    <w:uiPriority w:val="9"/>
    <w:locked/>
    <w:rsid w:val="00925373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2537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2537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2537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25373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Imar_1</dc:creator>
  <cp:keywords/>
  <dc:description/>
  <cp:lastModifiedBy>Aidata</cp:lastModifiedBy>
  <cp:revision>12</cp:revision>
  <cp:lastPrinted>2015-09-02T10:50:00Z</cp:lastPrinted>
  <dcterms:created xsi:type="dcterms:W3CDTF">2015-07-10T13:58:00Z</dcterms:created>
  <dcterms:modified xsi:type="dcterms:W3CDTF">2015-09-02T10:50:00Z</dcterms:modified>
</cp:coreProperties>
</file>